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hd w:val="clear" w:fill="F8FCF1"/>
        <w:spacing w:line="270" w:lineRule="atLeast"/>
        <w:ind w:left="0" w:firstLine="0"/>
        <w:jc w:val="left"/>
        <w:rPr>
          <w:rFonts w:hint="eastAsia" w:ascii="宋体" w:hAnsi="宋体" w:eastAsia="宋体" w:cs="宋体"/>
          <w:b w:val="0"/>
          <w:i w:val="0"/>
          <w:caps w:val="0"/>
          <w:color w:val="666666"/>
          <w:spacing w:val="0"/>
          <w:sz w:val="24"/>
          <w:szCs w:val="24"/>
          <w:shd w:val="clear" w:fill="F8FCF1"/>
        </w:rPr>
      </w:pPr>
      <w:bookmarkStart w:id="0" w:name="_GoBack"/>
      <w:bookmarkEnd w:id="0"/>
    </w:p>
    <w:p>
      <w:pPr>
        <w:pStyle w:val="2"/>
        <w:keepNext w:val="0"/>
        <w:keepLines w:val="0"/>
        <w:widowControl/>
        <w:suppressLineNumbers w:val="0"/>
        <w:shd w:val="clear" w:fill="F8FCF1"/>
        <w:spacing w:line="270" w:lineRule="atLeast"/>
        <w:ind w:left="0" w:firstLine="0"/>
        <w:jc w:val="center"/>
        <w:rPr>
          <w:rFonts w:hint="eastAsia" w:ascii="宋体" w:hAnsi="宋体" w:eastAsia="宋体" w:cs="宋体"/>
          <w:b/>
          <w:bCs w:val="0"/>
          <w:i w:val="0"/>
          <w:caps w:val="0"/>
          <w:color w:val="666666"/>
          <w:spacing w:val="0"/>
          <w:sz w:val="36"/>
          <w:szCs w:val="36"/>
          <w:shd w:val="clear" w:fill="F8FCF1"/>
        </w:rPr>
      </w:pPr>
      <w:r>
        <w:rPr>
          <w:rStyle w:val="4"/>
          <w:rFonts w:hint="eastAsia" w:ascii="宋体" w:hAnsi="宋体" w:eastAsia="宋体" w:cs="宋体"/>
          <w:b/>
          <w:bCs w:val="0"/>
          <w:i w:val="0"/>
          <w:caps w:val="0"/>
          <w:color w:val="666666"/>
          <w:spacing w:val="0"/>
          <w:sz w:val="36"/>
          <w:szCs w:val="36"/>
          <w:shd w:val="clear" w:fill="F8FCF1"/>
          <w:lang w:val="en-US" w:eastAsia="zh-CN"/>
        </w:rPr>
        <w:t>2016年最新的</w:t>
      </w:r>
      <w:r>
        <w:rPr>
          <w:rStyle w:val="4"/>
          <w:rFonts w:hint="eastAsia" w:ascii="宋体" w:hAnsi="宋体" w:eastAsia="宋体" w:cs="宋体"/>
          <w:b/>
          <w:bCs w:val="0"/>
          <w:i w:val="0"/>
          <w:caps w:val="0"/>
          <w:color w:val="666666"/>
          <w:spacing w:val="0"/>
          <w:sz w:val="36"/>
          <w:szCs w:val="36"/>
          <w:shd w:val="clear" w:fill="F8FCF1"/>
        </w:rPr>
        <w:t>基金从业资格全国统一考试大纲</w:t>
      </w:r>
    </w:p>
    <w:p>
      <w:pPr>
        <w:pStyle w:val="2"/>
        <w:keepNext w:val="0"/>
        <w:keepLines w:val="0"/>
        <w:widowControl/>
        <w:suppressLineNumbers w:val="0"/>
        <w:shd w:val="clear" w:fill="F8FCF1"/>
        <w:spacing w:line="270" w:lineRule="atLeast"/>
        <w:ind w:left="0" w:firstLine="0"/>
        <w:jc w:val="left"/>
        <w:rPr>
          <w:rFonts w:hint="eastAsia" w:ascii="宋体" w:hAnsi="宋体" w:eastAsia="宋体" w:cs="宋体"/>
          <w:b w:val="0"/>
          <w:i w:val="0"/>
          <w:caps w:val="0"/>
          <w:color w:val="666666"/>
          <w:spacing w:val="0"/>
          <w:sz w:val="24"/>
          <w:szCs w:val="24"/>
          <w:shd w:val="clear" w:fill="F8FCF1"/>
        </w:rPr>
      </w:pPr>
    </w:p>
    <w:p>
      <w:pPr>
        <w:pStyle w:val="2"/>
        <w:keepNext w:val="0"/>
        <w:keepLines w:val="0"/>
        <w:widowControl/>
        <w:suppressLineNumbers w:val="0"/>
        <w:shd w:val="clear" w:fill="F8FCF1"/>
        <w:spacing w:line="270" w:lineRule="atLeast"/>
        <w:ind w:left="0" w:firstLine="0"/>
        <w:jc w:val="left"/>
        <w:rPr>
          <w:rFonts w:hint="eastAsia"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附件1：</w:t>
      </w:r>
      <w:r>
        <w:rPr>
          <w:rStyle w:val="4"/>
          <w:rFonts w:hint="eastAsia" w:ascii="宋体" w:hAnsi="宋体" w:eastAsia="宋体" w:cs="宋体"/>
          <w:i w:val="0"/>
          <w:caps w:val="0"/>
          <w:color w:val="666666"/>
          <w:spacing w:val="0"/>
          <w:sz w:val="24"/>
          <w:szCs w:val="24"/>
          <w:shd w:val="clear" w:fill="F8FCF1"/>
        </w:rPr>
        <w:t>基金从业资格全国统一考试大纲——基金法律法规、职业道德与业务规范（2015年度）</w:t>
      </w:r>
    </w:p>
    <w:p>
      <w:pPr>
        <w:pStyle w:val="2"/>
        <w:keepNext w:val="0"/>
        <w:keepLines w:val="0"/>
        <w:widowControl/>
        <w:suppressLineNumbers w:val="0"/>
        <w:shd w:val="clear" w:fill="F8FCF1"/>
        <w:spacing w:line="270" w:lineRule="atLeast"/>
        <w:ind w:left="0" w:firstLine="0"/>
        <w:rPr>
          <w:rFonts w:hint="default" w:ascii="Arial" w:hAnsi="Arial" w:cs="Arial"/>
          <w:b w:val="0"/>
          <w:i w:val="0"/>
          <w:caps w:val="0"/>
          <w:color w:val="666666"/>
          <w:spacing w:val="0"/>
          <w:sz w:val="18"/>
          <w:szCs w:val="18"/>
        </w:rPr>
      </w:pPr>
      <w:r>
        <w:rPr>
          <w:rFonts w:hint="default" w:ascii="Arial" w:hAnsi="Arial" w:cs="Arial"/>
          <w:b w:val="0"/>
          <w:i w:val="0"/>
          <w:caps w:val="0"/>
          <w:color w:val="666666"/>
          <w:spacing w:val="0"/>
          <w:sz w:val="18"/>
          <w:szCs w:val="18"/>
          <w:shd w:val="clear" w:fill="F8FCF1"/>
        </w:rPr>
        <w:t> </w:t>
      </w:r>
    </w:p>
    <w:p>
      <w:pPr>
        <w:pStyle w:val="2"/>
        <w:keepNext w:val="0"/>
        <w:keepLines w:val="0"/>
        <w:widowControl/>
        <w:suppressLineNumbers w:val="0"/>
        <w:shd w:val="clear" w:fill="F8FCF1"/>
        <w:spacing w:line="270" w:lineRule="atLeast"/>
        <w:ind w:left="0" w:firstLine="0"/>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一、总体目标</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基金从业人员应遵循《证券投资基金法》、国务院证券监督管理机构以及基金行业协会出台的各类法律法规、自律规则和职业道德，并掌握基本业务规范。为提升基金从业人员合规合法意识，提高职业道德与执业规范水平，特设《基金法律法规、职业道德与业务规范》科目。</w:t>
      </w:r>
    </w:p>
    <w:p>
      <w:pPr>
        <w:pStyle w:val="2"/>
        <w:keepNext w:val="0"/>
        <w:keepLines w:val="0"/>
        <w:widowControl/>
        <w:suppressLineNumbers w:val="0"/>
        <w:shd w:val="clear" w:fill="F8FCF1"/>
        <w:spacing w:line="270" w:lineRule="atLeast"/>
        <w:ind w:left="0" w:firstLine="0"/>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二、能力等级</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能力等级是对考生专业知识掌握程度的最低要求，分为三个级别：</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（一）掌握：考生须在考试和实际工作中理解并熟练运用的内容。</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（二）理解：考生须对该考点的概念、理念、原则、意义、应用范围等有清晰的认识。</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（三）了解：作为泛读内容，考生对其有一个基础的认识。</w:t>
      </w:r>
    </w:p>
    <w:p>
      <w:pPr>
        <w:pStyle w:val="2"/>
        <w:keepNext w:val="0"/>
        <w:keepLines w:val="0"/>
        <w:widowControl/>
        <w:suppressLineNumbers w:val="0"/>
        <w:shd w:val="clear" w:fill="F8FCF1"/>
        <w:spacing w:line="270" w:lineRule="atLeast"/>
        <w:ind w:left="0" w:firstLine="0"/>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三、考试内容与能力要求</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考生应当根据本科目考试内容与能力等级的要求，在工作中掌握或运用下列相关的法律法规、职业道德标准和业务规范，坚守职业价值观、遵循职业道德、坚持职业态度。</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default" w:ascii="Arial" w:hAnsi="Arial" w:cs="Arial"/>
          <w:b w:val="0"/>
          <w:i w:val="0"/>
          <w:caps w:val="0"/>
          <w:color w:val="666666"/>
          <w:spacing w:val="0"/>
          <w:sz w:val="18"/>
          <w:szCs w:val="18"/>
          <w:shd w:val="clear" w:fill="F8FCF1"/>
        </w:rPr>
        <w:t> </w:t>
      </w:r>
    </w:p>
    <w:tbl>
      <w:tblPr>
        <w:tblW w:w="786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CF1"/>
        <w:tblLayout w:type="fixed"/>
        <w:tblCellMar>
          <w:top w:w="0" w:type="dxa"/>
          <w:left w:w="0" w:type="dxa"/>
          <w:bottom w:w="0" w:type="dxa"/>
          <w:right w:w="0" w:type="dxa"/>
        </w:tblCellMar>
      </w:tblPr>
      <w:tblGrid>
        <w:gridCol w:w="1620"/>
        <w:gridCol w:w="1335"/>
        <w:gridCol w:w="1695"/>
        <w:gridCol w:w="3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CF1"/>
          <w:tblLayout w:type="fixed"/>
          <w:tblCellMar>
            <w:top w:w="0" w:type="dxa"/>
            <w:left w:w="0" w:type="dxa"/>
            <w:bottom w:w="0" w:type="dxa"/>
            <w:right w:w="0" w:type="dxa"/>
          </w:tblCellMar>
        </w:tblPrEx>
        <w:trPr>
          <w:trHeight w:val="480" w:hRule="atLeast"/>
          <w:tblCellSpacing w:w="0" w:type="dxa"/>
        </w:trPr>
        <w:tc>
          <w:tcPr>
            <w:tcW w:w="1620" w:type="dxa"/>
            <w:tcBorders>
              <w:top w:val="single" w:color="auto" w:sz="6" w:space="0"/>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Style w:val="4"/>
                <w:rFonts w:hint="eastAsia" w:ascii="宋体" w:hAnsi="宋体" w:eastAsia="宋体" w:cs="宋体"/>
                <w:i w:val="0"/>
                <w:caps w:val="0"/>
                <w:color w:val="000000"/>
                <w:spacing w:val="0"/>
                <w:sz w:val="21"/>
                <w:szCs w:val="21"/>
                <w:bdr w:val="none" w:color="auto" w:sz="0" w:space="0"/>
              </w:rPr>
              <w:t>对应教材章名</w:t>
            </w:r>
          </w:p>
        </w:tc>
        <w:tc>
          <w:tcPr>
            <w:tcW w:w="1335" w:type="dxa"/>
            <w:tcBorders>
              <w:top w:val="single" w:color="auto" w:sz="6" w:space="0"/>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Style w:val="4"/>
                <w:rFonts w:hint="eastAsia" w:ascii="宋体" w:hAnsi="宋体" w:eastAsia="宋体" w:cs="宋体"/>
                <w:i w:val="0"/>
                <w:caps w:val="0"/>
                <w:color w:val="000000"/>
                <w:spacing w:val="0"/>
                <w:sz w:val="21"/>
                <w:szCs w:val="21"/>
                <w:bdr w:val="none" w:color="auto" w:sz="0" w:space="0"/>
              </w:rPr>
              <w:t>节名</w:t>
            </w:r>
          </w:p>
        </w:tc>
        <w:tc>
          <w:tcPr>
            <w:tcW w:w="1695" w:type="dxa"/>
            <w:tcBorders>
              <w:top w:val="single" w:color="auto" w:sz="6" w:space="0"/>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Style w:val="4"/>
                <w:rFonts w:hint="eastAsia" w:ascii="宋体" w:hAnsi="宋体" w:eastAsia="宋体" w:cs="宋体"/>
                <w:i w:val="0"/>
                <w:caps w:val="0"/>
                <w:color w:val="000000"/>
                <w:spacing w:val="0"/>
                <w:sz w:val="21"/>
                <w:szCs w:val="21"/>
                <w:bdr w:val="none" w:color="auto" w:sz="0" w:space="0"/>
              </w:rPr>
              <w:t>编号</w:t>
            </w:r>
          </w:p>
        </w:tc>
        <w:tc>
          <w:tcPr>
            <w:tcW w:w="3210" w:type="dxa"/>
            <w:tcBorders>
              <w:top w:val="single" w:color="auto" w:sz="6" w:space="0"/>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Style w:val="4"/>
                <w:rFonts w:hint="eastAsia" w:ascii="宋体" w:hAnsi="宋体" w:eastAsia="宋体" w:cs="宋体"/>
                <w:i w:val="0"/>
                <w:caps w:val="0"/>
                <w:color w:val="000000"/>
                <w:spacing w:val="0"/>
                <w:sz w:val="21"/>
                <w:szCs w:val="21"/>
                <w:bdr w:val="none" w:color="auto" w:sz="0" w:space="0"/>
              </w:rPr>
              <w:t>学习目标(掌握/理解/了解）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1.金融、资产管理与投资基金</w:t>
            </w: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1.金融市场与资产管理行业</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理解金融与居民理财的关系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理解金融市场的分类和构成要素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1.1.c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理解金融资产的概念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1.1.d</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理解资产管理的特征与资产管理行业的功能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1.1.e</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了解我国资产管理行业的现状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2.投资基金</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掌握投资基金的定义和主要类别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2.证券投资基金概述</w:t>
            </w: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1.证券投资基金的概念和特点</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了解证券投资基金在各地不同的名称和概念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理解证券投资基金的基本特点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理解证券投资基金与其他金融工具的比较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2.证券投资基金的运作与参与主体</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理解证券投资基金运作具有三大部分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理解基金行业的主要参与者及其功能和运作关系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0"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了解基金行业的运作环节包括：募集和市场营销、投资管理、托管、登记、估值和会计核算、信息披露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3.证券投资基金的法律形式和运作方式</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理解公司型基金和契约型基金的区别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理解开放式基金和封闭式基金的区别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4.证券投资基金的起源与发展</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了解证券投资基金的起源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了解证券投资基金的发展历程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了解全球基金业发展的趋势与特点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5.我国证券投资基金业的发展历程</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2.5.a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了解我国证券投资基金发展的六个阶段以及每个阶段的特点和标志产品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6.证券投资基金业在金融体系中的地位与作用</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理解基金对中小投资者的作用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理解基金对金融结构和经济的作用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理解基金对证券市场的作用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162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3.证券投资基金的类型</w:t>
            </w: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1.证券投资基金分类概述</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3.1.a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了解基金分类的意义和困难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3.1.b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掌握基金的不同分类标准和基本分类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2-5.基金的基本类别：股票基金、债券基金、货币市场基金和混合基金</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3.2-5.a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掌握基本基金类型及其特点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6"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6-9.特殊的证券投资基金类别：保本基金，ETF, QDII, 分级基金</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3.6-9a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了解市场上各类特殊类别基金的特点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4.证券投资基金的监管</w:t>
            </w:r>
          </w:p>
        </w:tc>
        <w:tc>
          <w:tcPr>
            <w:tcW w:w="133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1.基金监管概述</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掌握基金监管的概念、体系、原则和目标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2.基金监管机构和自律组织</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掌握中国证监会对基金行业的监管职责及监管措施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4.2.b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掌握行业自律组织对基金行业的自律管理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3.对基金机构的监管</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掌握对基金管理人的监管内容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4.3.b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掌握对基金托管人的监管内容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4.3.c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掌握对基金服务机构的监管内容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4.对基金活动的监管</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4.4.a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掌握对基金募集和销售活动的监管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4.4.b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掌握对基金运作的监管（包括投资与交易行为、信息披露、持有人大会等)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5.对非公开募集基金的监管</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4.5.a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掌握非公开募集基金管理人登记事宜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4.5.b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掌握对非公开募集基金募集以及运作的监管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5.基金职业道德</w:t>
            </w: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1.道德与职业道德</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了解道德、职业道德以及基金职业道德的含义和区别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理解道德与法律的联系和区别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2.基金职业道德规范</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理解基金从业人员职业道德的含义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5.2.b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掌握基金职业道德规范的内容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5.2.c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掌握守法合规的含义和基本要求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5.2.d</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掌握诚实守信的含义及基本要求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5.2.e</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掌握专业审慎的含义及基本要求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5.2.f</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掌握客户至上的含义及基本要求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5.2.g</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掌握忠诚尽责的含义及基本要求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5.2.h</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掌握保守秘密的含义及基本要求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3.基金职业道德教育与修养</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5.3.a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理解基金职业道德教育与修养的内容与途径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16.基金的募集、交易与登记</w:t>
            </w: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1.基金的募集与认购</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掌握基金募集的概念与程序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掌握基金成立的条件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16.1.c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了解基金产品注册制度改革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16.1.d</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bottom"/>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掌握基金认购的概念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16.1.e</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bottom"/>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了解各类基金（开放式、LOF、ETF、QFII、封闭式）的认购方式和程序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2.基金的交易、申购和赎回</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掌握开放式基金申购与赎回的概念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16.2.b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掌握开放式基金申购与赎回的费用结构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16.2.c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了解开放式基金转换和非交易过户、份额和金额计算等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16.2.d</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理解巨额赎回处理等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16.2.e</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了解不同产品的交易方式与流程（ETF、LOF、封闭式、QDII，及市场创新产品的特殊方式）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3.基金的登记</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掌握基金份额登记的概念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16.3.b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了解现行登记模式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16.3.c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掌握登记机构职责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16.3.d</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理解登记业务流程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20.基金的信息披露</w:t>
            </w:r>
          </w:p>
        </w:tc>
        <w:tc>
          <w:tcPr>
            <w:tcW w:w="133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1.基金信息披露概述</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掌握基金信息披露的作用与原则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了解我国基金信息披露体系及XBRL的应用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2.基金主要当事人的信息披露义务</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理解基金管理人信息披露的主要内容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20.2.b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理解基金托管人信息披露的主要内容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3.基金募集信息披露</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理解基金合同、托管协议等法律文件应包含的重要内容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20.3.b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理解招募说明书的重要内容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4.基金运作信息披露</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20.4.a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掌握基金净值公告的种类及披露时效性要求；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20.4.b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理解货币市场基金信息披露的特殊规定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20.4.c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理解基金定期公告的相关规定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20.4.d</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理解基金上市交易公告书和临时信息披露的相关规定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5.特殊基金品种的信息披露</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20.5.a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了解QDII信息披露的特殊规定及要求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20.5.b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了解ETF信息披露的特殊规定及要求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21.基金客户和销售机构</w:t>
            </w: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1.基金客户的分类</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理解基金投资人类型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了解基金客户构成现状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21.1.c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理解目标客户选择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2.基金销售机构</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掌握基金销售机构的主要类型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21.2.b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了解各类机构的现状和发展趋势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21.2.c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掌握基金销售机构准入条件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21.2.d</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掌握基金销售机构职责规范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3.基金销售机构的销售理论、方式与策略</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了解基金管理人及代销机构销售方式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21.3.b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掌握基金市场营销的特殊性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22.基金销售行为规范及信息管理</w:t>
            </w: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1.基金销售机构人员行为规范</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理解基金销售人员的资格管理、人员管理和培训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理解基金销售人员行为规范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2.基金宣传推介材料规范</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理解宣传推介材料的范围和报备流程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22.2.b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掌握宣传推介材料的原则性要求和禁止性规定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22.2.c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理解宣传推介材料业绩登载规范和其他规范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3.基金销售费用规范</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掌握销售费用内容(原则性规范、费用结构和费率水平)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22.3.b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掌握销售费用原则性规范和其他规范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4.基金销售适用性</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22.4.a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掌握基金销售适用性的指导原则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22.4.b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理解基金销售适用性渠道审慎调查的要求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22.4.c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掌握基金销售适用性产品风险评价的要求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5.基金销售信息管理</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22.5.a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了解基金销售业务信息、客户信息和渠道信息管理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23.基金客户服务</w:t>
            </w:r>
          </w:p>
        </w:tc>
        <w:tc>
          <w:tcPr>
            <w:tcW w:w="133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1.客户服务概述</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掌握基金客户服务的特点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掌握基金客户服务的原则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23.1.c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了解基金客户服务的内容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2.客户服务流程</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了解客户服务流程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3.投资者教育工作</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了解投资者教育工作的概念和意义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23.3.b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掌握投资者教育工作的基本原则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23.3.c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理解投资者教育工作的内容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24.基金管理人的内部控制</w:t>
            </w: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1.内部控制的目标和原则</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理解基金公司内部控制的重要性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理解基金公司内部控制的基本概念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24.1.c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掌握基金公司内部控制的目标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24.1.d</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掌握基金公司内部控制的原则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2.内部控制机制</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掌握基金公司内控机制的四个层次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24.2.b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掌握基金公司内部控制的基本要素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3.内部控制制度</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理解内部控制制度的组成内容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4.内部控制的主要内容</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24.4.a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理解基金公司前、中、后台控制的主要内容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24.4.b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理解基金公司信息披露控制的主要内容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24.4.c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理解基金公司信息技术控制的主要内容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restart"/>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25.基金管理人的合规管理</w:t>
            </w: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1.合规管理概述</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25.1.a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了解合规管理的基本概念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25.1.b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了解合规管理的目标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25.1.c</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理解合规管理的基本原则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restart"/>
            <w:tcBorders>
              <w:top w:val="nil"/>
              <w:left w:val="nil"/>
              <w:bottom w:val="single" w:color="000000"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2.合规管理机构设置</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25.2.a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了解合规管理涉及的相关部门设置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vMerge w:val="continue"/>
            <w:tcBorders>
              <w:top w:val="nil"/>
              <w:left w:val="nil"/>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25.2.b</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理解合规管理相关部门的合规责任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nil"/>
              <w:left w:val="nil"/>
              <w:bottom w:val="nil"/>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3.合规管理的主要内容</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25.3.a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了解合规管理的主要活动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1620" w:type="dxa"/>
            <w:vMerge w:val="continue"/>
            <w:tcBorders>
              <w:top w:val="nil"/>
              <w:left w:val="single" w:color="auto" w:sz="6" w:space="0"/>
              <w:bottom w:val="single" w:color="000000"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35" w:type="dxa"/>
            <w:tcBorders>
              <w:top w:val="single" w:color="auto" w:sz="6" w:space="0"/>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4.合规风险</w:t>
            </w:r>
          </w:p>
        </w:tc>
        <w:tc>
          <w:tcPr>
            <w:tcW w:w="169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25.4.a</w:t>
            </w:r>
          </w:p>
        </w:tc>
        <w:tc>
          <w:tcPr>
            <w:tcW w:w="321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理解合规风险的含义、种类和主要管理措施</w:t>
            </w:r>
          </w:p>
        </w:tc>
      </w:tr>
    </w:tbl>
    <w:p>
      <w:pPr>
        <w:pStyle w:val="2"/>
        <w:keepNext w:val="0"/>
        <w:keepLines w:val="0"/>
        <w:widowControl/>
        <w:suppressLineNumbers w:val="0"/>
        <w:shd w:val="clear" w:fill="F8FCF1"/>
        <w:spacing w:line="270" w:lineRule="atLeast"/>
        <w:ind w:left="0" w:firstLine="0"/>
        <w:jc w:val="left"/>
        <w:rPr>
          <w:rFonts w:hint="default" w:ascii="Arial" w:hAnsi="Arial" w:cs="Arial"/>
          <w:b w:val="0"/>
          <w:i w:val="0"/>
          <w:caps w:val="0"/>
          <w:color w:val="666666"/>
          <w:spacing w:val="0"/>
          <w:sz w:val="18"/>
          <w:szCs w:val="18"/>
        </w:rPr>
      </w:pPr>
      <w:r>
        <w:rPr>
          <w:rFonts w:hint="default" w:ascii="Arial" w:hAnsi="Arial" w:cs="Arial"/>
          <w:b w:val="0"/>
          <w:i w:val="0"/>
          <w:caps w:val="0"/>
          <w:color w:val="666666"/>
          <w:spacing w:val="0"/>
          <w:sz w:val="18"/>
          <w:szCs w:val="18"/>
          <w:shd w:val="clear" w:fill="F8FCF1"/>
        </w:rPr>
        <w:t> </w:t>
      </w:r>
    </w:p>
    <w:p>
      <w:pPr>
        <w:pStyle w:val="2"/>
        <w:keepNext w:val="0"/>
        <w:keepLines w:val="0"/>
        <w:widowControl/>
        <w:suppressLineNumbers w:val="0"/>
        <w:shd w:val="clear" w:fill="F8FCF1"/>
        <w:spacing w:line="270" w:lineRule="atLeast"/>
        <w:ind w:left="0" w:firstLine="0"/>
        <w:jc w:val="left"/>
        <w:rPr>
          <w:rFonts w:hint="default" w:ascii="Arial" w:hAnsi="Arial" w:cs="Arial"/>
          <w:b w:val="0"/>
          <w:i w:val="0"/>
          <w:caps w:val="0"/>
          <w:color w:val="666666"/>
          <w:spacing w:val="0"/>
          <w:sz w:val="18"/>
          <w:szCs w:val="18"/>
        </w:rPr>
      </w:pPr>
      <w:r>
        <w:rPr>
          <w:rStyle w:val="4"/>
          <w:rFonts w:hint="eastAsia" w:ascii="宋体" w:hAnsi="宋体" w:eastAsia="宋体" w:cs="宋体"/>
          <w:i w:val="0"/>
          <w:caps w:val="0"/>
          <w:color w:val="666666"/>
          <w:spacing w:val="0"/>
          <w:sz w:val="24"/>
          <w:szCs w:val="24"/>
          <w:shd w:val="clear" w:fill="F8FCF1"/>
        </w:rPr>
        <w:t>附件2：基金从业资格全国统一考试大纲——证券投资基金基础知识（2015年度）</w:t>
      </w:r>
    </w:p>
    <w:p>
      <w:pPr>
        <w:pStyle w:val="2"/>
        <w:keepNext w:val="0"/>
        <w:keepLines w:val="0"/>
        <w:widowControl/>
        <w:suppressLineNumbers w:val="0"/>
        <w:shd w:val="clear" w:fill="F8FCF1"/>
        <w:spacing w:line="270" w:lineRule="atLeast"/>
        <w:ind w:left="0" w:firstLine="0"/>
        <w:rPr>
          <w:rFonts w:hint="default" w:ascii="Arial" w:hAnsi="Arial" w:cs="Arial"/>
          <w:b w:val="0"/>
          <w:i w:val="0"/>
          <w:caps w:val="0"/>
          <w:color w:val="666666"/>
          <w:spacing w:val="0"/>
          <w:sz w:val="18"/>
          <w:szCs w:val="18"/>
        </w:rPr>
      </w:pPr>
      <w:r>
        <w:rPr>
          <w:rFonts w:hint="default" w:ascii="Arial" w:hAnsi="Arial" w:cs="Arial"/>
          <w:b w:val="0"/>
          <w:i w:val="0"/>
          <w:caps w:val="0"/>
          <w:color w:val="666666"/>
          <w:spacing w:val="0"/>
          <w:sz w:val="18"/>
          <w:szCs w:val="18"/>
          <w:shd w:val="clear" w:fill="F8FCF1"/>
        </w:rPr>
        <w:t> </w:t>
      </w:r>
    </w:p>
    <w:p>
      <w:pPr>
        <w:pStyle w:val="2"/>
        <w:keepNext w:val="0"/>
        <w:keepLines w:val="0"/>
        <w:widowControl/>
        <w:suppressLineNumbers w:val="0"/>
        <w:shd w:val="clear" w:fill="F8FCF1"/>
        <w:spacing w:line="270" w:lineRule="atLeast"/>
        <w:ind w:left="0" w:firstLine="0"/>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一、总体目标</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为确保基金从业人员掌握与了解基金行业相关的基本知识与专业技能，具备从业必须的执业能力，特设《证券投资基金基础知识》科目。</w:t>
      </w:r>
    </w:p>
    <w:p>
      <w:pPr>
        <w:pStyle w:val="2"/>
        <w:keepNext w:val="0"/>
        <w:keepLines w:val="0"/>
        <w:widowControl/>
        <w:suppressLineNumbers w:val="0"/>
        <w:shd w:val="clear" w:fill="F8FCF1"/>
        <w:spacing w:line="270" w:lineRule="atLeast"/>
        <w:ind w:left="0" w:firstLine="0"/>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二、能力等级</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能力等级是对考生专业知识掌握程度的最低要求，分为三个级别：</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（一）掌握：考生须在考试和实际工作中理解并熟练运用的内容。</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（二）理解：考生须对该考点的概念、理念、原则、意义、应用范围等有清晰的认识。</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（三）了解： 作为泛读内容，考生对其有一个基础的认识。</w:t>
      </w:r>
    </w:p>
    <w:p>
      <w:pPr>
        <w:pStyle w:val="2"/>
        <w:keepNext w:val="0"/>
        <w:keepLines w:val="0"/>
        <w:widowControl/>
        <w:suppressLineNumbers w:val="0"/>
        <w:shd w:val="clear" w:fill="F8FCF1"/>
        <w:spacing w:line="270" w:lineRule="atLeast"/>
        <w:ind w:left="0" w:firstLine="0"/>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三、考试内容与能力要求</w:t>
      </w:r>
    </w:p>
    <w:p>
      <w:pPr>
        <w:pStyle w:val="2"/>
        <w:keepNext w:val="0"/>
        <w:keepLines w:val="0"/>
        <w:widowControl/>
        <w:suppressLineNumbers w:val="0"/>
        <w:shd w:val="clear" w:fill="F8FCF1"/>
        <w:spacing w:line="270" w:lineRule="atLeast"/>
        <w:ind w:left="0" w:firstLine="480"/>
        <w:jc w:val="left"/>
        <w:rPr>
          <w:rFonts w:hint="default" w:ascii="Arial" w:hAnsi="Arial" w:cs="Arial"/>
          <w:b w:val="0"/>
          <w:i w:val="0"/>
          <w:caps w:val="0"/>
          <w:color w:val="666666"/>
          <w:spacing w:val="0"/>
          <w:sz w:val="18"/>
          <w:szCs w:val="18"/>
        </w:rPr>
      </w:pPr>
      <w:r>
        <w:rPr>
          <w:rFonts w:hint="eastAsia" w:ascii="宋体" w:hAnsi="宋体" w:eastAsia="宋体" w:cs="宋体"/>
          <w:b w:val="0"/>
          <w:i w:val="0"/>
          <w:caps w:val="0"/>
          <w:color w:val="666666"/>
          <w:spacing w:val="0"/>
          <w:sz w:val="24"/>
          <w:szCs w:val="24"/>
          <w:shd w:val="clear" w:fill="F8FCF1"/>
        </w:rPr>
        <w:t>考生应当根据本科目考试内容与能力等级的要求，掌握下列从业必须的基础知识与专业技能，并具备在执业过程中综合运用相关知识的执业技能</w:t>
      </w:r>
    </w:p>
    <w:tbl>
      <w:tblPr>
        <w:tblW w:w="730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CF1"/>
        <w:tblLayout w:type="fixed"/>
        <w:tblCellMar>
          <w:top w:w="0" w:type="dxa"/>
          <w:left w:w="0" w:type="dxa"/>
          <w:bottom w:w="0" w:type="dxa"/>
          <w:right w:w="0" w:type="dxa"/>
        </w:tblCellMar>
      </w:tblPr>
      <w:tblGrid>
        <w:gridCol w:w="780"/>
        <w:gridCol w:w="1305"/>
        <w:gridCol w:w="93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8FCF1"/>
          <w:tblLayout w:type="fixed"/>
          <w:tblCellMar>
            <w:top w:w="0" w:type="dxa"/>
            <w:left w:w="0" w:type="dxa"/>
            <w:bottom w:w="0" w:type="dxa"/>
            <w:right w:w="0" w:type="dxa"/>
          </w:tblCellMar>
        </w:tblPrEx>
        <w:trPr>
          <w:trHeight w:val="495" w:hRule="atLeast"/>
          <w:tblCellSpacing w:w="0" w:type="dxa"/>
        </w:trPr>
        <w:tc>
          <w:tcPr>
            <w:tcW w:w="780" w:type="dxa"/>
            <w:tcBorders>
              <w:top w:val="single" w:color="auto" w:sz="6" w:space="0"/>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Style w:val="4"/>
                <w:rFonts w:hint="eastAsia" w:ascii="宋体" w:hAnsi="宋体" w:eastAsia="宋体" w:cs="宋体"/>
                <w:i w:val="0"/>
                <w:caps w:val="0"/>
                <w:color w:val="000000"/>
                <w:spacing w:val="0"/>
                <w:sz w:val="21"/>
                <w:szCs w:val="21"/>
                <w:bdr w:val="none" w:color="auto" w:sz="0" w:space="0"/>
              </w:rPr>
              <w:t>对应教材章名</w:t>
            </w:r>
          </w:p>
        </w:tc>
        <w:tc>
          <w:tcPr>
            <w:tcW w:w="1305" w:type="dxa"/>
            <w:tcBorders>
              <w:top w:val="single" w:color="auto" w:sz="6" w:space="0"/>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Style w:val="4"/>
                <w:rFonts w:hint="eastAsia" w:ascii="宋体" w:hAnsi="宋体" w:eastAsia="宋体" w:cs="宋体"/>
                <w:i w:val="0"/>
                <w:caps w:val="0"/>
                <w:color w:val="000000"/>
                <w:spacing w:val="0"/>
                <w:sz w:val="21"/>
                <w:szCs w:val="21"/>
                <w:bdr w:val="none" w:color="auto" w:sz="0" w:space="0"/>
              </w:rPr>
              <w:t>节名</w:t>
            </w:r>
          </w:p>
        </w:tc>
        <w:tc>
          <w:tcPr>
            <w:tcW w:w="930" w:type="dxa"/>
            <w:tcBorders>
              <w:top w:val="single" w:color="auto" w:sz="6" w:space="0"/>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Style w:val="4"/>
                <w:rFonts w:hint="eastAsia" w:ascii="宋体" w:hAnsi="宋体" w:eastAsia="宋体" w:cs="宋体"/>
                <w:i w:val="0"/>
                <w:caps w:val="0"/>
                <w:color w:val="000000"/>
                <w:spacing w:val="0"/>
                <w:sz w:val="21"/>
                <w:szCs w:val="21"/>
                <w:bdr w:val="none" w:color="auto" w:sz="0" w:space="0"/>
              </w:rPr>
              <w:t>编号</w:t>
            </w:r>
          </w:p>
        </w:tc>
        <w:tc>
          <w:tcPr>
            <w:tcW w:w="4290" w:type="dxa"/>
            <w:tcBorders>
              <w:top w:val="single" w:color="auto" w:sz="6" w:space="0"/>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Style w:val="4"/>
                <w:rFonts w:hint="eastAsia" w:ascii="宋体" w:hAnsi="宋体" w:eastAsia="宋体" w:cs="宋体"/>
                <w:i w:val="0"/>
                <w:caps w:val="0"/>
                <w:color w:val="000000"/>
                <w:spacing w:val="0"/>
                <w:sz w:val="21"/>
                <w:szCs w:val="21"/>
                <w:bdr w:val="none" w:color="auto" w:sz="0" w:space="0"/>
              </w:rPr>
              <w:t>学习目标(掌握/理解/了解）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6.投资管理基础</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1.财务报表</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理解资产负债表、利润表和现金流量表所提供的信息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理解资产、负债和权益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6.1.c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理解利润和净现金流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6.1.d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了解营运现金流、投资现金流和融资现金流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2.财务报表分析</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理解财务报表分析的概念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了解流动性比率、财务杠杆比率、营运效率比率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6.2.c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理解衡量盈利能力的三个比率：销售利润率（ROS），资产收益率（ROA），权益报酬率（ROE）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6.2.d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了解杜邦分析法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3.货币的时间价值与利率</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掌握货币的时间价值的概念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6.3.b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掌握即期利率和远期利率的概念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6.3.c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掌握名义利率和实际利率的概念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6.3.d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掌握单利和复利的概念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6.3.e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理解时间和贴现率对价值的影响以及PV和FV的概念、计算和应用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4.常用描述性统计概念</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6.4.a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掌握平均值、中位数、分位数的概念、计算和应用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6.4.b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理解方差和标准差的概念、计算和应用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6.4.c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了解正态分布的特征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6.4.d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理解相关性的概念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7.权益投资</w:t>
            </w: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1.资本结构</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理解不同资本类别之间投票权和所有权的区别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2.权益证券</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理解权益证券的类型和特点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理解普通股和优先股的区别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7.2.c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了解存托凭证 (Deposit Receipts)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7.2.d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理解可转债的定义、特征和基本要素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7.2.e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理解权证的定义和基本要素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7.2.f</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理解不同种类权益资产的风险收益特征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7.2.g</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理解影响公司在外发行股本的行为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3.股票分析方法</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理解股票基本面分析和技术分析的区别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4.股票估值方法</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7.4.a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理解内在估值法与相对估值法的区别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8.固定收益投资</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1.债券与债券市场</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理解债券市场各参与方的责任以及发行人类型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掌握债券的种类和特点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8.1.c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理解债券违约时的受偿顺序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8.1.d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理解固定利率债券、浮动利率债券和零息债券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8.1.e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了解嵌入条款的债券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8.1.f</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理解投资债券的风险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8.1.g</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理解中国两大债券交易市场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2.债券价值分析</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了解DCF估值法的概念和应用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掌握债券价格和到期收益率的关系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8.2.c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理解债券的到期收益率和当期收益率的区别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8.2.d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了解利率的期限结构和信用利差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8.2.e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掌握债券久期（麦考利久期和修正久期）的计算方法和应用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3.货币市场工具</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掌握货币市场工具的特点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8.3.b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理解常用货币市场工具类型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9.衍生工具</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1.衍生工具概述</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9.1.a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理解衍生品合约的概念和特点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9.1.b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了解衍生品合约中的买入和卖出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2.远期合约和期货合约</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9.2.a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理解期货和远期的定义与区别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9.2.b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理解期货和远期的市场作用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3.期权合约</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9.3.a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了解期权合约和影响期权定价的因子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4.互换合约</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9.4.a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理解互换合约的概念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9.4.b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了解影响互换合约定价的因子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9.4.c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理解远期、期货、期权和互换的区别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10.另类投资</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1.另类投资概述</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10.1.a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理解另类投资的优点和局限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10.1.b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理解另类投资的投资对象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2.私募股权投资</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10.2.a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了解私募股权投资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3.不动产投资</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10.3.a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了解不动产投资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4.大宗商品投资</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10.4.a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了解各类大宗商品投资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11.投资者需求与资产配置</w:t>
            </w: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1.投资者类型和特征</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11.1.a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掌握投资者的主要类型、区分方法和特征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2.投资者需求和投资政策</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11.2.a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理解不同类型投资者在资产配置上的需求和差异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11.2.b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理解投资政策说明书包含的主要内容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12.投资组合管理</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1.系统性风险、非系统性风险和风险分散化</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掌握系统性风险和非系统性风险的概念和来源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理解风险和收益的对应关系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12.1.c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掌握分散风险的原理和方法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2.资产配置</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理解不同资产间的相关性，及其对风险和收益的影响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理解均值方差法及其条件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12.2.c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理解最小方差法及有效性前沿、资本市场线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12.2.d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理解CAPM模型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12.2.e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理解战略资产配置和战术资产配置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3.被动投资和主动投资</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了解市场有效性的三个层次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12.3.b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掌握主动投资和被动投资的概念、方法和区别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12.3.c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了解市场上主要的指数（股票和债券）的编制方法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12.3.d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了解市场有效性和主动、被动产品选择的关系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12.3.e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了解完全复制、抽样复制和最优化方法复制三种跟踪指数方法的具体应用环境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12.3.f</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理解股票型指数基金的管理和风险收益特征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12.3.g</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了解债券指数基金无法完全被动的原因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12.3.h</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了解量化投资和多因子模型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4.投资组合构建</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12.4.a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理解股票投资组合的构建要点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12.4.b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理解债券投资组合的构建要点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5.投资管理部门</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12.5.a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理解基金公司投资管理部门设置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12.5.b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理解基金公司投资流程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13.投资交易管理</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1.证券市场的交易机制</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13.1.a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了解指令驱动市场、报价驱动市场和经纪人市场三种市场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13.1.b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理解做市商和经纪人的区别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13.1.c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理解买空、卖空和加杠杆对风险和收益的影响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2.交易执行</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13.2.a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理解基金公司投资交易流程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13.2.b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了解算法交易的概念和常见策略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3.交易成本与执行缺口</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13.3.a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理解不同类型的交易成本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13.3.b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了解执行缺口的组成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13.3.c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了解投资组合资产转持与T-Charter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14.投资风险的管理与控制  </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1.投资风险的类型</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掌握风险的定义和分类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理解投资风险的种类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2.投资风险的测量</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理解事前与事后风险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理解贝塔系数的概念和计算方法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14.2.c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理解下行风险和最大回撤的概念和计算方法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14.2.d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理解风险价值VaR的概念，了解常用计算方法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14.2.e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了解风险敞口与风险敏感度的概念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3.不同类型基金的风险管理</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理解股票型基金的风险管理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14.3.b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理解混合型基金的风险管理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14.3.c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理解债券型基金的风险管理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14.3.d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理解货币市场基金的风险管理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14.3.e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了解指数、ETF、保本基金、QDII基金、分级基金的风险管理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15.基金业绩评价</w:t>
            </w: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1.基金业绩评价概述</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15.1.a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理解投资业绩评价的基础概念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2.绝对收益与相对收益</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15.2.a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掌握收益率的计算方法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15.2.b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理解业绩比较基准概念与选取方法绝对收益与相对收益的概念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15.2.c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理解风险调整后收益的主要指标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3.业绩归因</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15.3.a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理解Brinson归因方法的三个归因项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4.基金业绩评价方法</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15.4.a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了解基金评价服务机构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15.4.b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了解基金评价中的基金分类、业绩计算和风格类型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15.4.c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理解全球投资业绩标准 (GIPS)的目的、作用和要求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17.基金的投资交易与结算</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1.基金参与证券交易所二级市场的交易与清算</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理解证券投资基金场内证券交易市场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理解证券投资基金场内证券结算机构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17.1.c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理解证券投资基金场内交易涉及的主要费用项目及收费标准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17.1.d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理解场内证券交易特别规定及事项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17.1.e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掌握场内证券交易清算与交收的原则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17.1.f</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了解场内证券交易交收与资金清算的内容与模式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2.银行间债券市场的交易与结算</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了解银行间债券市场的发展与现状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理解银行间债券市场的交易制度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17.2.c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理解银行间市场的交易品种和类型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17.2.d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掌握银行间债券结算类型和方式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17.2.e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理解银行间债券结算业务类型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3.海外证券市场投资的交易与结算</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了解境外市场交易与结算规则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17.3.b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理解QDII开展境外投资业务的交易与结算情况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18.基金估值、费用与会计核算</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1.基金资产估值</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掌握基金资产估值的概念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掌握基金资产估值的法律依据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18.1.c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了解基金资产估值的重要性和需要考虑的因素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18.1.d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理解基金资产估值的责任人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18.1.e</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理解基金资产估值的估值程序及基本原则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18.1.f</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理解具体投资品种的估值方法及基金暂停估值的情形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18.1.g</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了解QDII基金资产估值的特殊规定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2.基金费用</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了解基金费用的种类，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掌握基金管理费、托管费及销售服务费的计提标准及计提方式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18.2.c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了解不列入基金费用的项目种类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3.基金会计核算</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18.3.a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理解基金会计核算的特点及主要内容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4.基金财务会计报告分析</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18.4.a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理解基金财务报告分析的主要内容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19.基金的利润分配与税收</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1.基金利润及利润分配</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19.1.a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掌握基金利润来源及相关财务指标的主要内容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19.1.b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掌握利润分配对基金份额净值的影响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19.1.c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理解解基金分红的不同方式和货币市场基金利润分配的特殊规定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2.基金税收</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19.2.a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了解基金投资活动中涉及的税收项目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19.2.b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理解投资者投资基金涉及的税收项目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restart"/>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26.基金国际化的发展概况</w:t>
            </w: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1.海外市场发展</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26.1.a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了解投资基金国际化投资概况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26.1.b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了解海外市场的监管情况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restart"/>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2.中国基金国际化发展</w:t>
            </w: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26.2.a</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掌握QFII、RQFII的概念、规则和发展概况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26.2.b</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掌握QDII的概念、规则和发展概况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26.2.c</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了解基金互认的现状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blCellSpacing w:w="0" w:type="dxa"/>
        </w:trPr>
        <w:tc>
          <w:tcPr>
            <w:tcW w:w="780" w:type="dxa"/>
            <w:vMerge w:val="continue"/>
            <w:tcBorders>
              <w:top w:val="nil"/>
              <w:left w:val="single" w:color="auto" w:sz="6" w:space="0"/>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1305" w:type="dxa"/>
            <w:vMerge w:val="continue"/>
            <w:tcBorders>
              <w:top w:val="nil"/>
              <w:left w:val="nil"/>
              <w:bottom w:val="single" w:color="auto" w:sz="6" w:space="0"/>
              <w:right w:val="single" w:color="auto" w:sz="6" w:space="0"/>
            </w:tcBorders>
            <w:shd w:val="clear" w:color="auto" w:fill="F8FCF1"/>
            <w:tcMar>
              <w:left w:w="105" w:type="dxa"/>
              <w:right w:w="105" w:type="dxa"/>
            </w:tcMar>
            <w:vAlign w:val="center"/>
          </w:tcPr>
          <w:p>
            <w:pPr>
              <w:rPr>
                <w:rFonts w:hint="default" w:ascii="Arial" w:hAnsi="Arial" w:cs="Arial"/>
                <w:b w:val="0"/>
                <w:i w:val="0"/>
                <w:caps w:val="0"/>
                <w:color w:val="666666"/>
                <w:spacing w:val="0"/>
                <w:sz w:val="18"/>
                <w:szCs w:val="18"/>
              </w:rPr>
            </w:pPr>
          </w:p>
        </w:tc>
        <w:tc>
          <w:tcPr>
            <w:tcW w:w="93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center"/>
            </w:pPr>
            <w:r>
              <w:rPr>
                <w:rFonts w:hint="eastAsia" w:ascii="宋体" w:hAnsi="宋体" w:eastAsia="宋体" w:cs="宋体"/>
                <w:b w:val="0"/>
                <w:i w:val="0"/>
                <w:caps w:val="0"/>
                <w:color w:val="000000"/>
                <w:spacing w:val="0"/>
                <w:sz w:val="21"/>
                <w:szCs w:val="21"/>
                <w:bdr w:val="none" w:color="auto" w:sz="0" w:space="0"/>
              </w:rPr>
              <w:t>26.2.d</w:t>
            </w:r>
          </w:p>
        </w:tc>
        <w:tc>
          <w:tcPr>
            <w:tcW w:w="4290" w:type="dxa"/>
            <w:tcBorders>
              <w:top w:val="nil"/>
              <w:left w:val="nil"/>
              <w:bottom w:val="single" w:color="auto" w:sz="6" w:space="0"/>
              <w:right w:val="single" w:color="auto" w:sz="6" w:space="0"/>
            </w:tcBorders>
            <w:shd w:val="clear" w:color="auto" w:fill="F8FCF1"/>
            <w:tcMar>
              <w:left w:w="105" w:type="dxa"/>
              <w:right w:w="105" w:type="dxa"/>
            </w:tcMar>
            <w:vAlign w:val="center"/>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0000"/>
                <w:spacing w:val="0"/>
                <w:sz w:val="21"/>
                <w:szCs w:val="21"/>
                <w:bdr w:val="none" w:color="auto" w:sz="0" w:space="0"/>
              </w:rPr>
              <w:t>理解沪港通的重要意义</w:t>
            </w:r>
          </w:p>
        </w:tc>
      </w:tr>
    </w:tbl>
    <w:p>
      <w:pPr>
        <w:pStyle w:val="2"/>
        <w:keepNext w:val="0"/>
        <w:keepLines w:val="0"/>
        <w:widowControl/>
        <w:suppressLineNumbers w:val="0"/>
        <w:shd w:val="clear" w:fill="F8FCF1"/>
        <w:spacing w:line="270" w:lineRule="atLeast"/>
        <w:ind w:left="0" w:firstLine="600"/>
        <w:jc w:val="left"/>
        <w:rPr>
          <w:rFonts w:hint="default" w:ascii="Arial" w:hAnsi="Arial" w:cs="Arial"/>
          <w:b w:val="0"/>
          <w:i w:val="0"/>
          <w:caps w:val="0"/>
          <w:color w:val="666666"/>
          <w:spacing w:val="0"/>
          <w:sz w:val="18"/>
          <w:szCs w:val="18"/>
        </w:rPr>
      </w:pPr>
      <w:r>
        <w:rPr>
          <w:rFonts w:hint="default" w:ascii="Arial" w:hAnsi="Arial" w:cs="Arial"/>
          <w:b w:val="0"/>
          <w:i w:val="0"/>
          <w:caps w:val="0"/>
          <w:color w:val="666666"/>
          <w:spacing w:val="0"/>
          <w:sz w:val="18"/>
          <w:szCs w:val="18"/>
          <w:shd w:val="clear" w:fill="F8FCF1"/>
        </w:rP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Lucida Sans Unicode">
    <w:panose1 w:val="020B0602030504020204"/>
    <w:charset w:val="00"/>
    <w:family w:val="roman"/>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C5D57"/>
    <w:rsid w:val="29DC5D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2015-12-25T07:03:00Z</dcterms:created>
  <dc:creator>Administrator</dc:creator>
  <cp:lastModifiedBy>Administrator</cp:lastModifiedBy>
  <dcterms:modified xsi:type="dcterms:W3CDTF">2015-12-25T07:08:17Z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